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0DDFE" w14:textId="77777777" w:rsidR="00D67758" w:rsidRDefault="00D67758" w:rsidP="00D67758">
      <w:pPr>
        <w:pStyle w:val="DCUHeading1"/>
        <w:rPr>
          <w:lang w:val="en-IE"/>
        </w:rPr>
      </w:pPr>
      <w:bookmarkStart w:id="0" w:name="_Toc209806584"/>
      <w:r>
        <w:rPr>
          <w:lang w:val="en-IE"/>
        </w:rPr>
        <w:t>Policy and Practice Considerations</w:t>
      </w:r>
      <w:bookmarkEnd w:id="0"/>
    </w:p>
    <w:p w14:paraId="77613F9F" w14:textId="77777777" w:rsidR="00D67758" w:rsidRDefault="00D67758" w:rsidP="00D67758">
      <w:pPr>
        <w:pStyle w:val="DCUHeading1"/>
        <w:rPr>
          <w:lang w:val="en-IE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7508"/>
        <w:gridCol w:w="1559"/>
      </w:tblGrid>
      <w:tr w:rsidR="00D67758" w14:paraId="3EB414E6" w14:textId="77777777" w:rsidTr="00BF0687">
        <w:tc>
          <w:tcPr>
            <w:tcW w:w="7508" w:type="dxa"/>
          </w:tcPr>
          <w:p w14:paraId="68D2BB9B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  <w:tc>
          <w:tcPr>
            <w:tcW w:w="1559" w:type="dxa"/>
          </w:tcPr>
          <w:p w14:paraId="77742B75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Yes/No</w:t>
            </w:r>
          </w:p>
        </w:tc>
      </w:tr>
      <w:tr w:rsidR="00D67758" w14:paraId="4913C73E" w14:textId="77777777" w:rsidTr="00BF0687">
        <w:tc>
          <w:tcPr>
            <w:tcW w:w="7508" w:type="dxa"/>
          </w:tcPr>
          <w:p w14:paraId="1D929CE4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Has our school considered what curricula we offer in senior cycle?</w:t>
            </w:r>
          </w:p>
        </w:tc>
        <w:tc>
          <w:tcPr>
            <w:tcW w:w="1559" w:type="dxa"/>
          </w:tcPr>
          <w:p w14:paraId="1C99886F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5B5E9227" w14:textId="77777777" w:rsidTr="00BF0687">
        <w:tc>
          <w:tcPr>
            <w:tcW w:w="7508" w:type="dxa"/>
          </w:tcPr>
          <w:p w14:paraId="16CF62DA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considered within our current senior cycle programmes, where work experience might support our students in achieving the key skills of senior cycle? </w:t>
            </w:r>
          </w:p>
        </w:tc>
        <w:tc>
          <w:tcPr>
            <w:tcW w:w="1559" w:type="dxa"/>
          </w:tcPr>
          <w:p w14:paraId="2D100A0E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64AEB4BA" w14:textId="77777777" w:rsidTr="00BF0687">
        <w:tc>
          <w:tcPr>
            <w:tcW w:w="7508" w:type="dxa"/>
          </w:tcPr>
          <w:p w14:paraId="5619BE8E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In aiming for inclusion of all students in work experience, have we considered what age/stage of development our students should start work experience?</w:t>
            </w:r>
          </w:p>
        </w:tc>
        <w:tc>
          <w:tcPr>
            <w:tcW w:w="1559" w:type="dxa"/>
          </w:tcPr>
          <w:p w14:paraId="34B02601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62315DAC" w14:textId="77777777" w:rsidTr="00BF0687">
        <w:tc>
          <w:tcPr>
            <w:tcW w:w="7508" w:type="dxa"/>
          </w:tcPr>
          <w:p w14:paraId="1D581E89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considered what preparatory work can support our students before they engage in work experience? </w:t>
            </w:r>
          </w:p>
        </w:tc>
        <w:tc>
          <w:tcPr>
            <w:tcW w:w="1559" w:type="dxa"/>
          </w:tcPr>
          <w:p w14:paraId="589834E0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21E436CF" w14:textId="77777777" w:rsidTr="00BF0687">
        <w:tc>
          <w:tcPr>
            <w:tcW w:w="7508" w:type="dxa"/>
          </w:tcPr>
          <w:p w14:paraId="1AE389B2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completed a risk assessment? </w:t>
            </w:r>
          </w:p>
        </w:tc>
        <w:tc>
          <w:tcPr>
            <w:tcW w:w="1559" w:type="dxa"/>
          </w:tcPr>
          <w:p w14:paraId="26262EF5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1938526E" w14:textId="77777777" w:rsidTr="00BF0687">
        <w:tc>
          <w:tcPr>
            <w:tcW w:w="7508" w:type="dxa"/>
          </w:tcPr>
          <w:p w14:paraId="4B1779D1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Have parents been consulted on the work experience policy?</w:t>
            </w:r>
          </w:p>
        </w:tc>
        <w:tc>
          <w:tcPr>
            <w:tcW w:w="1559" w:type="dxa"/>
          </w:tcPr>
          <w:p w14:paraId="5EA91FDD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7F8CD248" w14:textId="77777777" w:rsidTr="00BF0687">
        <w:tc>
          <w:tcPr>
            <w:tcW w:w="7508" w:type="dxa"/>
          </w:tcPr>
          <w:p w14:paraId="20BF0414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Have students been consulted on the work experience policy?</w:t>
            </w:r>
          </w:p>
        </w:tc>
        <w:tc>
          <w:tcPr>
            <w:tcW w:w="1559" w:type="dxa"/>
          </w:tcPr>
          <w:p w14:paraId="5B0C3CFE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1035FE27" w14:textId="77777777" w:rsidTr="00BF0687">
        <w:tc>
          <w:tcPr>
            <w:tcW w:w="7508" w:type="dxa"/>
          </w:tcPr>
          <w:p w14:paraId="586C1794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engaged in student profiling to match work experience to their own development of post-school goals? </w:t>
            </w:r>
          </w:p>
        </w:tc>
        <w:tc>
          <w:tcPr>
            <w:tcW w:w="1559" w:type="dxa"/>
          </w:tcPr>
          <w:p w14:paraId="45D179AF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015549E6" w14:textId="77777777" w:rsidTr="00BF0687">
        <w:tc>
          <w:tcPr>
            <w:tcW w:w="7508" w:type="dxa"/>
          </w:tcPr>
          <w:p w14:paraId="0263CDE7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Have we established links with a diverse range of host settings?</w:t>
            </w:r>
          </w:p>
        </w:tc>
        <w:tc>
          <w:tcPr>
            <w:tcW w:w="1559" w:type="dxa"/>
          </w:tcPr>
          <w:p w14:paraId="49DEBF14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5F582D55" w14:textId="77777777" w:rsidTr="00BF0687">
        <w:tc>
          <w:tcPr>
            <w:tcW w:w="7508" w:type="dxa"/>
          </w:tcPr>
          <w:p w14:paraId="4000A8B0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Have we identified transport options for work experience, including the use of staff cars where this aligns with school policy?</w:t>
            </w:r>
          </w:p>
        </w:tc>
        <w:tc>
          <w:tcPr>
            <w:tcW w:w="1559" w:type="dxa"/>
          </w:tcPr>
          <w:p w14:paraId="74544140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0E2B1E9B" w14:textId="77777777" w:rsidTr="00BF0687">
        <w:tc>
          <w:tcPr>
            <w:tcW w:w="7508" w:type="dxa"/>
          </w:tcPr>
          <w:p w14:paraId="54D00419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considered supervision arrangements and staff ratios while students are on work experience? </w:t>
            </w:r>
          </w:p>
        </w:tc>
        <w:tc>
          <w:tcPr>
            <w:tcW w:w="1559" w:type="dxa"/>
          </w:tcPr>
          <w:p w14:paraId="4B3A1457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0EA05A96" w14:textId="77777777" w:rsidTr="00BF0687">
        <w:tc>
          <w:tcPr>
            <w:tcW w:w="7508" w:type="dxa"/>
          </w:tcPr>
          <w:p w14:paraId="2741E159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included in our policy, the staff duties while on supervision of work experience? </w:t>
            </w:r>
          </w:p>
          <w:p w14:paraId="256EE049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Does this include an outline of the level of interaction expected between host setting, staff and student? </w:t>
            </w:r>
          </w:p>
          <w:p w14:paraId="299F18E7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Does it outline the level of prompting/assistance/modelling that may be provided to the student by the supervising staff member?</w:t>
            </w:r>
          </w:p>
        </w:tc>
        <w:tc>
          <w:tcPr>
            <w:tcW w:w="1559" w:type="dxa"/>
          </w:tcPr>
          <w:p w14:paraId="578B1B3A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0A46D6FB" w14:textId="77777777" w:rsidTr="00BF0687">
        <w:tc>
          <w:tcPr>
            <w:tcW w:w="7508" w:type="dxa"/>
          </w:tcPr>
          <w:p w14:paraId="38BFF027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considered protocols for safe transport and storage of medications while the student is on work experience? </w:t>
            </w:r>
          </w:p>
        </w:tc>
        <w:tc>
          <w:tcPr>
            <w:tcW w:w="1559" w:type="dxa"/>
          </w:tcPr>
          <w:p w14:paraId="366CE2D5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1850E164" w14:textId="77777777" w:rsidTr="00BF0687">
        <w:tc>
          <w:tcPr>
            <w:tcW w:w="7508" w:type="dxa"/>
          </w:tcPr>
          <w:p w14:paraId="5AB2073D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 xml:space="preserve">Have we considered our position if a host setting offers payment to our students? </w:t>
            </w:r>
          </w:p>
        </w:tc>
        <w:tc>
          <w:tcPr>
            <w:tcW w:w="1559" w:type="dxa"/>
          </w:tcPr>
          <w:p w14:paraId="7ACCA7DE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  <w:tr w:rsidR="00D67758" w14:paraId="53D697A8" w14:textId="77777777" w:rsidTr="00BF0687">
        <w:tc>
          <w:tcPr>
            <w:tcW w:w="7508" w:type="dxa"/>
          </w:tcPr>
          <w:p w14:paraId="71E388F9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  <w:r>
              <w:rPr>
                <w:lang w:val="en-IE"/>
              </w:rPr>
              <w:t>Have we considered the protocol if either the host setting or school wish to terminate the work experience partnership?</w:t>
            </w:r>
          </w:p>
        </w:tc>
        <w:tc>
          <w:tcPr>
            <w:tcW w:w="1559" w:type="dxa"/>
          </w:tcPr>
          <w:p w14:paraId="410ABBE2" w14:textId="77777777" w:rsidR="00D67758" w:rsidRDefault="00D67758" w:rsidP="00BF0687">
            <w:pPr>
              <w:pStyle w:val="DCUBodycopy"/>
              <w:spacing w:line="276" w:lineRule="auto"/>
              <w:rPr>
                <w:lang w:val="en-IE"/>
              </w:rPr>
            </w:pPr>
          </w:p>
        </w:tc>
      </w:tr>
    </w:tbl>
    <w:p w14:paraId="6A84D79A" w14:textId="77777777" w:rsidR="00D67758" w:rsidRDefault="00D67758" w:rsidP="00D67758">
      <w:pPr>
        <w:pStyle w:val="DCUBodycopy"/>
        <w:rPr>
          <w:lang w:val="en-IE"/>
        </w:rPr>
      </w:pPr>
    </w:p>
    <w:p w14:paraId="05502B68" w14:textId="77777777" w:rsidR="00D67758" w:rsidRDefault="00D67758" w:rsidP="00D67758">
      <w:pPr>
        <w:pStyle w:val="DCUBodycopy"/>
        <w:rPr>
          <w:lang w:val="en-IE"/>
        </w:rPr>
      </w:pPr>
    </w:p>
    <w:p w14:paraId="6F9DDCF1" w14:textId="77777777" w:rsidR="00D67758" w:rsidRDefault="00D67758" w:rsidP="00D67758">
      <w:pPr>
        <w:pStyle w:val="DCUBodycopy"/>
        <w:rPr>
          <w:lang w:val="en-IE"/>
        </w:rPr>
      </w:pPr>
    </w:p>
    <w:p w14:paraId="2EE4D325" w14:textId="77777777" w:rsidR="004F67E0" w:rsidRPr="00D67758" w:rsidRDefault="004F67E0" w:rsidP="00D67758"/>
    <w:sectPr w:rsidR="004F67E0" w:rsidRPr="00D677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284C8" w14:textId="77777777" w:rsidR="00D728C6" w:rsidRDefault="00D728C6" w:rsidP="00EE745F">
      <w:r>
        <w:separator/>
      </w:r>
    </w:p>
  </w:endnote>
  <w:endnote w:type="continuationSeparator" w:id="0">
    <w:p w14:paraId="3E9A56D0" w14:textId="77777777" w:rsidR="00D728C6" w:rsidRDefault="00D728C6" w:rsidP="00EE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7B78" w14:textId="77777777" w:rsidR="00EE745F" w:rsidRDefault="00EE74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415C8" w14:textId="77777777" w:rsidR="00EE745F" w:rsidRPr="00E92E9D" w:rsidRDefault="00EE745F" w:rsidP="00EE745F">
    <w:pPr>
      <w:pStyle w:val="Footer"/>
      <w:jc w:val="center"/>
      <w:rPr>
        <w:sz w:val="22"/>
        <w:szCs w:val="22"/>
        <w:lang w:val="en-IE"/>
      </w:rPr>
    </w:pPr>
    <w:bookmarkStart w:id="1" w:name="_Hlk214962080"/>
    <w:bookmarkStart w:id="2" w:name="_Hlk214962081"/>
    <w:bookmarkStart w:id="3" w:name="_Hlk214962096"/>
    <w:bookmarkStart w:id="4" w:name="_Hlk214962097"/>
    <w:bookmarkStart w:id="5" w:name="_Hlk214962128"/>
    <w:bookmarkStart w:id="6" w:name="_Hlk214962129"/>
    <w:bookmarkStart w:id="7" w:name="_Hlk214962138"/>
    <w:bookmarkStart w:id="8" w:name="_Hlk214962139"/>
    <w:r w:rsidRPr="00E92E9D">
      <w:rPr>
        <w:sz w:val="22"/>
        <w:szCs w:val="22"/>
        <w:lang w:val="en-IE"/>
      </w:rPr>
      <w:t xml:space="preserve">Connolly, Scanlon &amp; Doyle (2025) </w:t>
    </w:r>
    <w:hyperlink r:id="rId1" w:history="1">
      <w:r w:rsidRPr="00E92E9D">
        <w:rPr>
          <w:rStyle w:val="Hyperlink"/>
          <w:sz w:val="22"/>
          <w:szCs w:val="22"/>
          <w:lang w:val="en-IE"/>
        </w:rPr>
        <w:t>https://postschooltransition.com/</w:t>
      </w:r>
    </w:hyperlink>
    <w:bookmarkEnd w:id="1"/>
    <w:bookmarkEnd w:id="2"/>
    <w:bookmarkEnd w:id="3"/>
    <w:bookmarkEnd w:id="4"/>
    <w:bookmarkEnd w:id="5"/>
    <w:bookmarkEnd w:id="6"/>
    <w:bookmarkEnd w:id="7"/>
    <w:bookmarkEnd w:id="8"/>
  </w:p>
  <w:p w14:paraId="2762767B" w14:textId="77777777" w:rsidR="00EE745F" w:rsidRDefault="00EE74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CE40" w14:textId="77777777" w:rsidR="00EE745F" w:rsidRDefault="00EE7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5EE24" w14:textId="77777777" w:rsidR="00D728C6" w:rsidRDefault="00D728C6" w:rsidP="00EE745F">
      <w:r>
        <w:separator/>
      </w:r>
    </w:p>
  </w:footnote>
  <w:footnote w:type="continuationSeparator" w:id="0">
    <w:p w14:paraId="5BD77EBE" w14:textId="77777777" w:rsidR="00D728C6" w:rsidRDefault="00D728C6" w:rsidP="00EE7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A8B4" w14:textId="77777777" w:rsidR="00EE745F" w:rsidRDefault="00EE74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E61F" w14:textId="2FF9B7AE" w:rsidR="00EE745F" w:rsidRDefault="00EE745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A085685" wp14:editId="2BD6F21C">
          <wp:simplePos x="0" y="0"/>
          <wp:positionH relativeFrom="column">
            <wp:posOffset>-1228725</wp:posOffset>
          </wp:positionH>
          <wp:positionV relativeFrom="paragraph">
            <wp:posOffset>-495935</wp:posOffset>
          </wp:positionV>
          <wp:extent cx="11230276" cy="850264"/>
          <wp:effectExtent l="0" t="0" r="0" b="7620"/>
          <wp:wrapTight wrapText="bothSides">
            <wp:wrapPolygon edited="0">
              <wp:start x="0" y="0"/>
              <wp:lineTo x="0" y="21309"/>
              <wp:lineTo x="21545" y="21309"/>
              <wp:lineTo x="21545" y="0"/>
              <wp:lineTo x="0" y="0"/>
            </wp:wrapPolygon>
          </wp:wrapTight>
          <wp:docPr id="1526287844" name="Picture 1526287844" descr="DCU branded header" title="brand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 doc header_IO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0276" cy="850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730F" w14:textId="77777777" w:rsidR="00EE745F" w:rsidRDefault="00EE74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B2"/>
    <w:rsid w:val="000926B4"/>
    <w:rsid w:val="003C2D7C"/>
    <w:rsid w:val="00467A80"/>
    <w:rsid w:val="004C64B2"/>
    <w:rsid w:val="004F67E0"/>
    <w:rsid w:val="007A236E"/>
    <w:rsid w:val="00BD1041"/>
    <w:rsid w:val="00CB5F97"/>
    <w:rsid w:val="00CC6840"/>
    <w:rsid w:val="00D233D3"/>
    <w:rsid w:val="00D67758"/>
    <w:rsid w:val="00D728C6"/>
    <w:rsid w:val="00EE745F"/>
    <w:rsid w:val="00F155EE"/>
    <w:rsid w:val="00FD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DA21"/>
  <w15:chartTrackingRefBased/>
  <w15:docId w15:val="{B8C4A447-5BB1-4710-8273-C52F7CCD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B2"/>
    <w:pPr>
      <w:spacing w:after="0" w:line="240" w:lineRule="auto"/>
    </w:pPr>
    <w:rPr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64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4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4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4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4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4B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4B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4B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4B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4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4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6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4B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6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4B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6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4B2"/>
    <w:pPr>
      <w:spacing w:after="160" w:line="259" w:lineRule="auto"/>
      <w:ind w:left="720"/>
      <w:contextualSpacing/>
    </w:pPr>
    <w:rPr>
      <w:kern w:val="2"/>
      <w:sz w:val="22"/>
      <w:szCs w:val="22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6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4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4B2"/>
    <w:rPr>
      <w:b/>
      <w:bCs/>
      <w:smallCaps/>
      <w:color w:val="0F4761" w:themeColor="accent1" w:themeShade="BF"/>
      <w:spacing w:val="5"/>
    </w:rPr>
  </w:style>
  <w:style w:type="paragraph" w:customStyle="1" w:styleId="DCUHeading1">
    <w:name w:val="DCU Heading 1"/>
    <w:basedOn w:val="Heading1"/>
    <w:qFormat/>
    <w:rsid w:val="004C64B2"/>
    <w:pPr>
      <w:spacing w:before="240" w:after="0" w:line="240" w:lineRule="auto"/>
    </w:pPr>
    <w:rPr>
      <w:rFonts w:ascii="Arial" w:hAnsi="Arial" w:cs="Arial"/>
      <w:b/>
      <w:bCs/>
      <w:color w:val="00334F"/>
      <w:kern w:val="0"/>
      <w:sz w:val="32"/>
      <w:szCs w:val="32"/>
      <w:lang w:val="en-GB"/>
      <w14:ligatures w14:val="none"/>
    </w:rPr>
  </w:style>
  <w:style w:type="paragraph" w:customStyle="1" w:styleId="DCUBodycopy">
    <w:name w:val="DCU Body copy"/>
    <w:basedOn w:val="Normal"/>
    <w:qFormat/>
    <w:rsid w:val="004C64B2"/>
    <w:pPr>
      <w:spacing w:line="280" w:lineRule="exact"/>
    </w:pPr>
    <w:rPr>
      <w:rFonts w:ascii="Arial" w:hAnsi="Arial" w:cs="Arial"/>
      <w:color w:val="00334F"/>
    </w:rPr>
  </w:style>
  <w:style w:type="table" w:styleId="TableGrid">
    <w:name w:val="Table Grid"/>
    <w:basedOn w:val="TableNormal"/>
    <w:uiPriority w:val="39"/>
    <w:rsid w:val="004C64B2"/>
    <w:pPr>
      <w:spacing w:after="0" w:line="240" w:lineRule="auto"/>
    </w:pPr>
    <w:rPr>
      <w:kern w:val="0"/>
      <w:sz w:val="24"/>
      <w:szCs w:val="24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74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45F"/>
    <w:rPr>
      <w:kern w:val="0"/>
      <w:sz w:val="24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74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45F"/>
    <w:rPr>
      <w:kern w:val="0"/>
      <w:sz w:val="24"/>
      <w:szCs w:val="24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E74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stschooltransition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>Dublin City University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Leanne Connolly</dc:creator>
  <cp:keywords/>
  <dc:description/>
  <cp:lastModifiedBy>Leanne Connolly</cp:lastModifiedBy>
  <cp:revision>3</cp:revision>
  <dcterms:created xsi:type="dcterms:W3CDTF">2025-11-25T11:17:00Z</dcterms:created>
  <dcterms:modified xsi:type="dcterms:W3CDTF">2025-11-25T11:22:00Z</dcterms:modified>
</cp:coreProperties>
</file>